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4" w:type="pct"/>
        <w:tblInd w:w="103" w:type="dxa"/>
        <w:tblLayout w:type="fixed"/>
        <w:tblLook w:val="04A0"/>
      </w:tblPr>
      <w:tblGrid>
        <w:gridCol w:w="572"/>
        <w:gridCol w:w="1701"/>
        <w:gridCol w:w="6865"/>
      </w:tblGrid>
      <w:tr w:rsidR="003700FB" w:rsidRPr="003700FB" w:rsidTr="003700F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0FB" w:rsidRPr="003700FB" w:rsidRDefault="003700FB" w:rsidP="003700FB">
            <w:pPr>
              <w:spacing w:after="0" w:line="240" w:lineRule="auto"/>
              <w:jc w:val="center"/>
              <w:rPr>
                <w:rFonts w:ascii="Times New Roman" w:eastAsia="Times New Roman" w:hAnsi="Times New Roman" w:cs="Times New Roman"/>
                <w:b/>
                <w:bCs/>
                <w:color w:val="000000"/>
                <w:lang w:eastAsia="id-ID"/>
              </w:rPr>
            </w:pPr>
            <w:r w:rsidRPr="003700FB">
              <w:rPr>
                <w:rFonts w:ascii="Times New Roman" w:eastAsia="Times New Roman" w:hAnsi="Times New Roman" w:cs="Times New Roman"/>
                <w:b/>
                <w:bCs/>
                <w:color w:val="000000"/>
                <w:lang w:eastAsia="id-ID"/>
              </w:rPr>
              <w:t>No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700FB" w:rsidRPr="003700FB" w:rsidRDefault="003700FB" w:rsidP="003700FB">
            <w:pPr>
              <w:spacing w:after="0" w:line="240" w:lineRule="auto"/>
              <w:jc w:val="center"/>
              <w:rPr>
                <w:rFonts w:ascii="Times New Roman" w:eastAsia="Times New Roman" w:hAnsi="Times New Roman" w:cs="Times New Roman"/>
                <w:b/>
                <w:bCs/>
                <w:color w:val="000000"/>
                <w:lang w:eastAsia="id-ID"/>
              </w:rPr>
            </w:pPr>
            <w:r w:rsidRPr="003700FB">
              <w:rPr>
                <w:rFonts w:ascii="Times New Roman" w:eastAsia="Times New Roman" w:hAnsi="Times New Roman" w:cs="Times New Roman"/>
                <w:b/>
                <w:bCs/>
                <w:color w:val="000000"/>
                <w:lang w:eastAsia="id-ID"/>
              </w:rPr>
              <w:t>Sumber Data</w:t>
            </w:r>
          </w:p>
        </w:tc>
        <w:tc>
          <w:tcPr>
            <w:tcW w:w="6865" w:type="dxa"/>
            <w:tcBorders>
              <w:top w:val="single" w:sz="4" w:space="0" w:color="auto"/>
              <w:left w:val="nil"/>
              <w:bottom w:val="single" w:sz="4" w:space="0" w:color="auto"/>
              <w:right w:val="single" w:sz="4" w:space="0" w:color="auto"/>
            </w:tcBorders>
            <w:shd w:val="clear" w:color="auto" w:fill="auto"/>
            <w:vAlign w:val="center"/>
            <w:hideMark/>
          </w:tcPr>
          <w:p w:rsidR="003700FB" w:rsidRPr="003700FB" w:rsidRDefault="003700FB" w:rsidP="003700FB">
            <w:pPr>
              <w:spacing w:after="0" w:line="240" w:lineRule="auto"/>
              <w:jc w:val="center"/>
              <w:rPr>
                <w:rFonts w:ascii="Times New Roman" w:eastAsia="Times New Roman" w:hAnsi="Times New Roman" w:cs="Times New Roman"/>
                <w:b/>
                <w:bCs/>
                <w:color w:val="000000"/>
                <w:lang w:eastAsia="id-ID"/>
              </w:rPr>
            </w:pPr>
            <w:r w:rsidRPr="003700FB">
              <w:rPr>
                <w:rFonts w:ascii="Times New Roman" w:eastAsia="Times New Roman" w:hAnsi="Times New Roman" w:cs="Times New Roman"/>
                <w:b/>
                <w:bCs/>
                <w:color w:val="000000"/>
                <w:lang w:eastAsia="id-ID"/>
              </w:rPr>
              <w:t>Field Note</w:t>
            </w:r>
          </w:p>
        </w:tc>
      </w:tr>
      <w:tr w:rsidR="003700FB" w:rsidRPr="003700FB" w:rsidTr="003700FB">
        <w:trPr>
          <w:trHeight w:val="9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Organisasi Masyarakat Adat Lokal</w:t>
            </w:r>
          </w:p>
        </w:tc>
        <w:tc>
          <w:tcPr>
            <w:tcW w:w="6865" w:type="dxa"/>
            <w:tcBorders>
              <w:top w:val="nil"/>
              <w:left w:val="nil"/>
              <w:bottom w:val="single" w:sz="4" w:space="0" w:color="auto"/>
              <w:right w:val="single" w:sz="4" w:space="0" w:color="auto"/>
            </w:tcBorders>
            <w:shd w:val="clear" w:color="auto" w:fill="auto"/>
            <w:vAlign w:val="center"/>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LMA baru berdiri pada 28 Janari 2011. Sampai saat ini fokus kegiatannya adalah pada penguatan kelembagaan, sehingga belum banyak terlibat dalam kegiatan terkait REDD+ karena kerjasama dengan pihak luar juga belum dibentuk</w:t>
            </w:r>
          </w:p>
        </w:tc>
      </w:tr>
      <w:tr w:rsidR="003700FB" w:rsidRPr="003700FB" w:rsidTr="003700FB">
        <w:trPr>
          <w:trHeight w:val="8190"/>
        </w:trPr>
        <w:tc>
          <w:tcPr>
            <w:tcW w:w="5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2</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BKSDA</w:t>
            </w:r>
          </w:p>
        </w:tc>
        <w:tc>
          <w:tcPr>
            <w:tcW w:w="6865" w:type="dxa"/>
            <w:tcBorders>
              <w:top w:val="nil"/>
              <w:left w:val="nil"/>
              <w:bottom w:val="single" w:sz="4" w:space="0" w:color="auto"/>
              <w:right w:val="single" w:sz="4" w:space="0" w:color="auto"/>
            </w:tcBorders>
            <w:shd w:val="clear" w:color="auto" w:fill="auto"/>
            <w:vAlign w:val="center"/>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 Data-data BKSDA ada di Balai Besar di Sorong. Ketika propinsi belum dipisah, Balai KSDA Papua ada 2, di Jayapura dan Sorong. Setelah dipisah, 22nya menjadi Balai Besar untuk masing-masing propinsi. Secara teknis BKSDA Manokwari bisa melaksanakan, tapi secara prinsip sulit jarena Balai Besar ada di Sorong.</w:t>
            </w:r>
            <w:r w:rsidRPr="003700FB">
              <w:rPr>
                <w:rFonts w:ascii="Times New Roman" w:eastAsia="Times New Roman" w:hAnsi="Times New Roman" w:cs="Times New Roman"/>
                <w:color w:val="000000"/>
                <w:lang w:eastAsia="id-ID"/>
              </w:rPr>
              <w:br/>
              <w:t>• Kawasan Konservasi  terdiri dari :</w:t>
            </w:r>
            <w:r w:rsidRPr="003700FB">
              <w:rPr>
                <w:rFonts w:ascii="Times New Roman" w:eastAsia="Times New Roman" w:hAnsi="Times New Roman" w:cs="Times New Roman"/>
                <w:color w:val="000000"/>
                <w:lang w:eastAsia="id-ID"/>
              </w:rPr>
              <w:br/>
              <w:t>1. Taman Nasional</w:t>
            </w:r>
            <w:r w:rsidRPr="003700FB">
              <w:rPr>
                <w:rFonts w:ascii="Times New Roman" w:eastAsia="Times New Roman" w:hAnsi="Times New Roman" w:cs="Times New Roman"/>
                <w:color w:val="000000"/>
                <w:lang w:eastAsia="id-ID"/>
              </w:rPr>
              <w:br/>
              <w:t>2. Cagar Alam</w:t>
            </w:r>
            <w:r w:rsidRPr="003700FB">
              <w:rPr>
                <w:rFonts w:ascii="Times New Roman" w:eastAsia="Times New Roman" w:hAnsi="Times New Roman" w:cs="Times New Roman"/>
                <w:color w:val="000000"/>
                <w:lang w:eastAsia="id-ID"/>
              </w:rPr>
              <w:br/>
              <w:t>3. Suaka Margasatwa</w:t>
            </w:r>
            <w:r w:rsidRPr="003700FB">
              <w:rPr>
                <w:rFonts w:ascii="Times New Roman" w:eastAsia="Times New Roman" w:hAnsi="Times New Roman" w:cs="Times New Roman"/>
                <w:color w:val="000000"/>
                <w:lang w:eastAsia="id-ID"/>
              </w:rPr>
              <w:br/>
              <w:t>4. Taman Wisata</w:t>
            </w:r>
            <w:r w:rsidRPr="003700FB">
              <w:rPr>
                <w:rFonts w:ascii="Times New Roman" w:eastAsia="Times New Roman" w:hAnsi="Times New Roman" w:cs="Times New Roman"/>
                <w:color w:val="000000"/>
                <w:lang w:eastAsia="id-ID"/>
              </w:rPr>
              <w:br/>
              <w:t>5. Taman Hutan Raya</w:t>
            </w:r>
            <w:r w:rsidRPr="003700FB">
              <w:rPr>
                <w:rFonts w:ascii="Times New Roman" w:eastAsia="Times New Roman" w:hAnsi="Times New Roman" w:cs="Times New Roman"/>
                <w:color w:val="000000"/>
                <w:lang w:eastAsia="id-ID"/>
              </w:rPr>
              <w:br/>
              <w:t>Semuanya adalah KSDA. Taman Wisata  tidak boleh budidaya dari luar, sementara Taman Hutan Raya boleh budidaya dari luar.  Sisi Konservasi ada 3 :</w:t>
            </w:r>
            <w:r w:rsidRPr="003700FB">
              <w:rPr>
                <w:rFonts w:ascii="Times New Roman" w:eastAsia="Times New Roman" w:hAnsi="Times New Roman" w:cs="Times New Roman"/>
                <w:color w:val="000000"/>
                <w:lang w:eastAsia="id-ID"/>
              </w:rPr>
              <w:br/>
              <w:t>1. Perlindungan</w:t>
            </w:r>
            <w:r w:rsidRPr="003700FB">
              <w:rPr>
                <w:rFonts w:ascii="Times New Roman" w:eastAsia="Times New Roman" w:hAnsi="Times New Roman" w:cs="Times New Roman"/>
                <w:color w:val="000000"/>
                <w:lang w:eastAsia="id-ID"/>
              </w:rPr>
              <w:br/>
              <w:t>2. Pemanfaatan :</w:t>
            </w:r>
            <w:r w:rsidRPr="003700FB">
              <w:rPr>
                <w:rFonts w:ascii="Times New Roman" w:eastAsia="Times New Roman" w:hAnsi="Times New Roman" w:cs="Times New Roman"/>
                <w:color w:val="000000"/>
                <w:lang w:eastAsia="id-ID"/>
              </w:rPr>
              <w:br/>
              <w:t>Biasanya dilakukan oleh Taman Wisata yang fungsinya bisa perlindungan dan pemanfataan sekaligus</w:t>
            </w:r>
            <w:r w:rsidRPr="003700FB">
              <w:rPr>
                <w:rFonts w:ascii="Times New Roman" w:eastAsia="Times New Roman" w:hAnsi="Times New Roman" w:cs="Times New Roman"/>
                <w:color w:val="000000"/>
                <w:lang w:eastAsia="id-ID"/>
              </w:rPr>
              <w:br/>
              <w:t>3. Pengawetan</w:t>
            </w:r>
            <w:r w:rsidRPr="003700FB">
              <w:rPr>
                <w:rFonts w:ascii="Times New Roman" w:eastAsia="Times New Roman" w:hAnsi="Times New Roman" w:cs="Times New Roman"/>
                <w:color w:val="000000"/>
                <w:lang w:eastAsia="id-ID"/>
              </w:rPr>
              <w:br/>
              <w:t xml:space="preserve">KSDA sendiri bisa masuk dari sisi pengamanan, dengan prinsip Ex-Situ dan In-Situ. Ex-situ artinya pengamanan di lkuar kawasan konservasi, sedangkan In-Situ artinya pengamanan di dalam kawasan konservasi. Di luar kawasan koservasi misalnya peredaran tumbuhan dan satwa liar, misalnya tukar satwa atau perdagangan kayu Gaharu. Misalnya dalam perdagangan kayu Gaharu, ada rekomendasi dari LIPI terkait dengan kuota dengan SK Dirjen . Lalu diokeluarkan PNBP KSDA untuk kayu Gaharu sebersar Rp 2100/kg dengan SK Menteri Keuangan. Dan ini kemudian harus mendapatkan ijin dari Ketua </w:t>
            </w:r>
            <w:r w:rsidRPr="003700FB">
              <w:rPr>
                <w:rFonts w:ascii="Times New Roman" w:eastAsia="Times New Roman" w:hAnsi="Times New Roman" w:cs="Times New Roman"/>
                <w:color w:val="000000"/>
                <w:lang w:eastAsia="id-ID"/>
              </w:rPr>
              <w:t> </w:t>
            </w:r>
            <w:r w:rsidRPr="003700FB">
              <w:rPr>
                <w:rFonts w:ascii="Times New Roman" w:eastAsia="Times New Roman" w:hAnsi="Times New Roman" w:cs="Times New Roman"/>
                <w:color w:val="000000"/>
                <w:lang w:eastAsia="id-ID"/>
              </w:rPr>
              <w:t>Balai</w:t>
            </w:r>
          </w:p>
        </w:tc>
      </w:tr>
      <w:tr w:rsidR="003700FB" w:rsidRPr="003700FB" w:rsidTr="003700FB">
        <w:trPr>
          <w:trHeight w:val="1200"/>
        </w:trPr>
        <w:tc>
          <w:tcPr>
            <w:tcW w:w="572" w:type="dxa"/>
            <w:vMerge/>
            <w:tcBorders>
              <w:top w:val="nil"/>
              <w:left w:val="single" w:sz="4" w:space="0" w:color="auto"/>
              <w:bottom w:val="single" w:sz="4" w:space="0" w:color="000000"/>
              <w:right w:val="single" w:sz="4" w:space="0" w:color="auto"/>
            </w:tcBorders>
            <w:vAlign w:val="center"/>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p>
        </w:tc>
        <w:tc>
          <w:tcPr>
            <w:tcW w:w="1701" w:type="dxa"/>
            <w:vMerge/>
            <w:tcBorders>
              <w:top w:val="nil"/>
              <w:left w:val="single" w:sz="4" w:space="0" w:color="auto"/>
              <w:bottom w:val="single" w:sz="4" w:space="0" w:color="000000"/>
              <w:right w:val="single" w:sz="4" w:space="0" w:color="auto"/>
            </w:tcBorders>
            <w:vAlign w:val="center"/>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p>
        </w:tc>
        <w:tc>
          <w:tcPr>
            <w:tcW w:w="6865"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jc w:val="both"/>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Untuk Komponen B, Isu III, indikator a : Tahun 2000 ke bawah, sarjana kehutanan kekuatan masih sangat kurang, sehingga aplikasi sulit,  SDM selevel SLTA. Tahun 2000 ke atas baru masuk sarjana dengan kualifikasi yang dibutuhkan , tapi masih terhitung beru butuh kurang lebih 5 tahun pengalaman, khususnya di wilayah konservasi</w:t>
            </w:r>
          </w:p>
        </w:tc>
      </w:tr>
      <w:tr w:rsidR="003700FB" w:rsidRPr="003700FB" w:rsidTr="003700FB">
        <w:trPr>
          <w:trHeight w:val="6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3</w:t>
            </w:r>
          </w:p>
        </w:tc>
        <w:tc>
          <w:tcPr>
            <w:tcW w:w="1701" w:type="dxa"/>
            <w:tcBorders>
              <w:top w:val="nil"/>
              <w:left w:val="nil"/>
              <w:bottom w:val="single" w:sz="4" w:space="0" w:color="auto"/>
              <w:right w:val="single" w:sz="4" w:space="0" w:color="auto"/>
            </w:tcBorders>
            <w:shd w:val="clear" w:color="auto" w:fill="auto"/>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Polres, Kejati, Pengadilan Tinggi</w:t>
            </w:r>
          </w:p>
        </w:tc>
        <w:tc>
          <w:tcPr>
            <w:tcW w:w="6865"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Tidak ada di Manokwari/Papua Barat. Karena masih jadi satu dengan Papua, jadi ada di Jayapura</w:t>
            </w:r>
          </w:p>
        </w:tc>
      </w:tr>
      <w:tr w:rsidR="003700FB" w:rsidRPr="003700FB" w:rsidTr="003700FB">
        <w:trPr>
          <w:trHeight w:val="12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4</w:t>
            </w:r>
          </w:p>
        </w:tc>
        <w:tc>
          <w:tcPr>
            <w:tcW w:w="1701"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 xml:space="preserve">Perusahaan </w:t>
            </w:r>
          </w:p>
        </w:tc>
        <w:tc>
          <w:tcPr>
            <w:tcW w:w="6865" w:type="dxa"/>
            <w:tcBorders>
              <w:top w:val="nil"/>
              <w:left w:val="nil"/>
              <w:bottom w:val="single" w:sz="4" w:space="0" w:color="auto"/>
              <w:right w:val="single" w:sz="4" w:space="0" w:color="auto"/>
            </w:tcBorders>
            <w:shd w:val="clear" w:color="auto" w:fill="auto"/>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Tidak ada perusahaan di Manokwari. Kalaupun ada letaknya 5 jam perjalanan dari Manokwari. Pada saat FGD panel ahli menyarankan untuk melakukan wawancara melalui email. Hal ini sudah dilakukan, namun sampai sekarang belum mendapat respon dari pihak perusahaan. Perusahaan yang dimaksud adalah Medco</w:t>
            </w:r>
          </w:p>
        </w:tc>
      </w:tr>
      <w:tr w:rsidR="003700FB" w:rsidRPr="003700FB" w:rsidTr="003700FB">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5</w:t>
            </w:r>
          </w:p>
        </w:tc>
        <w:tc>
          <w:tcPr>
            <w:tcW w:w="1701"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Asosiasi Pengusaha</w:t>
            </w:r>
          </w:p>
        </w:tc>
        <w:tc>
          <w:tcPr>
            <w:tcW w:w="6865"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Tidak ada asosiasi pengusaha tambang atau oerkebunan di Manokwari</w:t>
            </w:r>
          </w:p>
        </w:tc>
      </w:tr>
      <w:tr w:rsidR="003700FB" w:rsidRPr="003700FB" w:rsidTr="003700FB">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jc w:val="center"/>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6</w:t>
            </w:r>
          </w:p>
        </w:tc>
        <w:tc>
          <w:tcPr>
            <w:tcW w:w="1701"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KPH</w:t>
            </w:r>
          </w:p>
        </w:tc>
        <w:tc>
          <w:tcPr>
            <w:tcW w:w="6865" w:type="dxa"/>
            <w:tcBorders>
              <w:top w:val="nil"/>
              <w:left w:val="nil"/>
              <w:bottom w:val="single" w:sz="4" w:space="0" w:color="auto"/>
              <w:right w:val="single" w:sz="4" w:space="0" w:color="auto"/>
            </w:tcBorders>
            <w:shd w:val="clear" w:color="auto" w:fill="auto"/>
            <w:noWrap/>
            <w:vAlign w:val="bottom"/>
            <w:hideMark/>
          </w:tcPr>
          <w:p w:rsidR="003700FB" w:rsidRPr="003700FB" w:rsidRDefault="003700FB" w:rsidP="003700FB">
            <w:pPr>
              <w:spacing w:after="0" w:line="240" w:lineRule="auto"/>
              <w:rPr>
                <w:rFonts w:ascii="Times New Roman" w:eastAsia="Times New Roman" w:hAnsi="Times New Roman" w:cs="Times New Roman"/>
                <w:color w:val="000000"/>
                <w:lang w:eastAsia="id-ID"/>
              </w:rPr>
            </w:pPr>
            <w:r w:rsidRPr="003700FB">
              <w:rPr>
                <w:rFonts w:ascii="Times New Roman" w:eastAsia="Times New Roman" w:hAnsi="Times New Roman" w:cs="Times New Roman"/>
                <w:color w:val="000000"/>
                <w:lang w:eastAsia="id-ID"/>
              </w:rPr>
              <w:t>KPH di Papua Barat baru terbentuk 1, itupun berada di Sorong</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3700FB"/>
    <w:rsid w:val="004165D1"/>
    <w:rsid w:val="006E5970"/>
    <w:rsid w:val="00AD0140"/>
    <w:rsid w:val="00D74DB4"/>
    <w:rsid w:val="00DF379F"/>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 w:id="194480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2012-10-16T10:02:00Z</dcterms:modified>
</cp:coreProperties>
</file>